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黑体"/>
          <w:b/>
          <w:bCs/>
          <w:i w:val="0"/>
          <w:iCs w:val="0"/>
          <w:caps w:val="0"/>
          <w:color w:val="000000"/>
          <w:spacing w:val="0"/>
          <w:sz w:val="24"/>
          <w:szCs w:val="24"/>
        </w:rPr>
      </w:pPr>
      <w:r>
        <w:rPr>
          <w:rFonts w:ascii="黑体" w:hAnsi="宋体" w:eastAsia="黑体" w:cs="黑体"/>
          <w:b/>
          <w:bCs/>
          <w:i w:val="0"/>
          <w:iCs w:val="0"/>
          <w:caps w:val="0"/>
          <w:color w:val="000000"/>
          <w:spacing w:val="0"/>
          <w:sz w:val="24"/>
          <w:szCs w:val="24"/>
        </w:rPr>
        <w:t>水权交易管理暂行办法</w:t>
      </w:r>
    </w:p>
    <w:p>
      <w:pPr>
        <w:keepNext w:val="0"/>
        <w:keepLines w:val="0"/>
        <w:widowControl/>
        <w:suppressLineNumbers w:val="0"/>
        <w:ind w:left="0" w:firstLine="0"/>
        <w:jc w:val="center"/>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水利部关于印发《水权交易管理暂行办法》的通知</w:t>
      </w:r>
    </w:p>
    <w:p>
      <w:pPr>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（水政法[2016]156号）</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部机关各司局，部直属各单位，各省、自治区、直辖市水利（水务）厅（局），各计划单列市水利（水务）局，新疆生产建设兵团水利局：</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为贯彻落实党中央、国务院关于完善水权制度、推行水权交易、培育水权交易市场的决策部署，指导水权交易实践，我部制定了《水权交易管理暂行办法》，现予印发，请结合本地区、本单位实际遵照执行。</w:t>
      </w:r>
    </w:p>
    <w:p>
      <w:pPr>
        <w:pStyle w:val="9"/>
        <w:keepNext w:val="0"/>
        <w:keepLines w:val="0"/>
        <w:widowControl/>
        <w:suppressLineNumbers w:val="0"/>
        <w:jc w:val="right"/>
      </w:pPr>
      <w:r>
        <w:rPr>
          <w:rFonts w:hint="eastAsia" w:ascii="微软雅黑" w:hAnsi="微软雅黑" w:eastAsia="微软雅黑" w:cs="微软雅黑"/>
          <w:i w:val="0"/>
          <w:iCs w:val="0"/>
          <w:caps w:val="0"/>
          <w:color w:val="000000"/>
          <w:spacing w:val="0"/>
          <w:sz w:val="27"/>
          <w:szCs w:val="27"/>
        </w:rPr>
        <w:t>　　                                                             水利部</w:t>
      </w:r>
    </w:p>
    <w:p>
      <w:pPr>
        <w:pStyle w:val="9"/>
        <w:keepNext w:val="0"/>
        <w:keepLines w:val="0"/>
        <w:widowControl/>
        <w:suppressLineNumbers w:val="0"/>
        <w:jc w:val="right"/>
      </w:pPr>
      <w:r>
        <w:rPr>
          <w:rFonts w:hint="eastAsia" w:ascii="微软雅黑" w:hAnsi="微软雅黑" w:eastAsia="微软雅黑" w:cs="微软雅黑"/>
          <w:i w:val="0"/>
          <w:iCs w:val="0"/>
          <w:caps w:val="0"/>
          <w:color w:val="000000"/>
          <w:spacing w:val="0"/>
          <w:sz w:val="27"/>
          <w:szCs w:val="27"/>
        </w:rPr>
        <w:t>　　                                                          2016年4月19日</w:t>
      </w:r>
    </w:p>
    <w:p>
      <w:pPr>
        <w:pStyle w:val="9"/>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　　水权交易管理暂行办法</w:t>
      </w:r>
    </w:p>
    <w:p>
      <w:pPr>
        <w:pStyle w:val="9"/>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　　第一章 总则</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第一条 为贯彻落实党中央、国务院关于建立完善水权制度、推行水权交易、培育水权交易市场的决策部署，鼓励开展多种形式的水权交易，促进水资源的节约、保护和优化配置，根据有关法律法规和政策文件，制定本办法。</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第二条 水权包括水资源的所有权和使用权。本办法所称水权交易，是指在合理界定和分配水资源使用权基础上，通过市场机制实现水资源使用权在地区间、流域间、流域上下游、行业间、用水户间流转的行为。</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第三条 按照确权类型、交易主体和范围划分，水权交易主要包括以下形式：</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一）区域水权交易：以县级以上地方人民政府或者其授权的部门、单位为主体，以用水总量控制指标和江河水量分配指标范围内结余水量为标的，在位于同一流域或者位于不同流域但具备调水条件的行政区域之间开展的水权交易。</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二）取水权交易：获得取水权的单位或者个人（包括除城镇公共供水企业外的工业、农业、服务业取水权人），通过调整产品和产业结构、改革工艺、节水等措施节约水资源的，在取水许可有效期和取水限额内向符合条件的其他单位或者个人有偿转让相应取水权的水权交易。</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（三）灌溉用水户水权交易：已明确用水权益的灌溉用水户或者用水组织之间的水权交易。</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通过交易转让水权的一方称转让方，取得水权的一方称受让方。</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第四条 国务院水行政主管部门负责全国水权交易的监督管理，其所属流域管理机构依照法律法规和国务院水行政主管部门授权，负责所管辖范围内水权交易的监督管理。</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县级以上地方人民政府水行政主管部门负责本行政区域内水权交易的监督管理。</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第五条 水权交易应当坚持积极稳妥、因地制宜、公正有序，实行政府调控与市场调节相结合，符合最严格水资源管理制度要求，有利于水资源高效利用与节约保护，不得影响公共利益或者利害关系人合法权益。</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第六条 开展水权交易，用以交易的水权应当已经通过水量分配方案、取水许可、县级以上地方人民政府或者其授权的水行政主管部门确认，并具备相应的工程条件和计量监测能力。</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第七条 水权交易一般应当通过水权交易平台进行，也可以在转让方与受让方之间直接进行。区域水权交易或者交易量较大的取水权交易，应当通过水权交易平台进行。</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本办法所称水权交易平台，是指依法设立，为水权交易各方提供相关交易服务的场所或者机构。</w:t>
      </w:r>
    </w:p>
    <w:p>
      <w:pPr>
        <w:pStyle w:val="9"/>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　　第二章 区域水权交易</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第八条 区域水权交易在县级以上地方人民政府或者其授权的部门、单位之间进行。</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第九条 开展区域水权交易，应当通过水权交易平台公告其转让、受让意向，寻求确定交易对象，明确可交易水量、交易期限、交易价格等事项。</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第十条 交易各方一般应当以水权交易平台或者其他具备相应能力的机构评估价为基准价格，进行协商定价或者竞价；也可以直接协商定价。</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第十一条 转让方与受让方达成协议后，应当将协议报共同的上一级地方人民政府水行政主管部门备案；跨省交易但属同一流域管理机构管辖范围的，报该流域管理机构备案；不属同一流域管理机构管辖范围的，报国务院水行政主管部门备案。</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第十二条 在交易期限内，区域水权交易转让方转让水量占用本行政区域用水总量控制指标和江河水量分配指标，受让方实收水量不占用本行政区域用水总量控制指标和江河水量分配指标。</w:t>
      </w:r>
    </w:p>
    <w:p>
      <w:pPr>
        <w:pStyle w:val="9"/>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　　第三章 取水权交易</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第十三条 取水权交易在取水权人之间进行，或者在取水权人与符合申请领取取水许可证条件的单位或者个人之间进行。</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第十四条 取水权交易转让方应当向其原取水审批机关提出申请。申请材料应当包括取水许可证副本、交易水量、交易期限、转让方采取措施节约水资源情况、已有和拟建计量监测设施、对公共利益和利害关系人合法权益的影响及其补偿措施。</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第十五条 原取水审批机关应当及时对转让方提出的转让申请报告进行审查，组织对转让方节水措施的真实性和有效性进行现场检查，在20个工作日内决定是否批准，并书面告知申请人。</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第十六条 转让申请经原取水审批机关批准后，转让方可以与受让方通过水权交易平台或者直接签订取水权交易协议，交易量较大的应当通过水权交易平台签订协议。协议内容应当包括交易量、交易期限、受让方取水地点和取水用途、交易价格、违约责任、争议解决办法等。</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交易价格根据补偿节约水资源成本、合理收益的原则，综合考虑节水投资、计量监测设施费用等因素确定。</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第十七条 交易完成后，转让方和受让方依法办理取水许可证或者取水许可变更手续。</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第十八条 转让方与受让方约定的交易期限超出取水许可证有效期的，审批受让方取水申请的取水审批机关应当会同原取水审批机关予以核定，并在批准文件中载明。在核定的交易期限内，对受让方取水许可证优先予以延续，但受让方未依法提出延续申请的除外。</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第十九条 县级以上地方人民政府或者其授权的部门、单位，可以通过政府投资节水形式回购取水权，也可以回购取水单位和个人投资节约的取水权。回购的取水权，应当优先保证生活用水和生态用水；尚有余量的，可以通过市场竞争方式进行配置。</w:t>
      </w:r>
    </w:p>
    <w:p>
      <w:pPr>
        <w:pStyle w:val="9"/>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　　第四章 灌溉用水户水权交易</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第二十条 灌溉用水户水权交易在灌区内部用水户或者用水组织之间进行。</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第二十一条 县级以上地方人民政府或者其授权的水行政主管部门通过水权证等形式将用水权益明确到灌溉用水户或者用水组织之后，可以开展交易。</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第二十二条 灌溉用水户水权交易期限不超过一年的，不需审批，由转让方与受让方平等协商，自主开展；交易期限超过一年的，事前报灌区管理单位或者县级以上地方人民政府水行政主管部门备案。</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第二十三条 灌区管理单位应当为开展灌溉用水户水权交易创造条件，并将依法确定的用水权益及其变动情况予以公布。</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第二十四条 县级以上地方人民政府或其授权的水行政主管部门、灌区管理单位可以回购灌溉用水户或者用水组织水权，回购的水权可以用于灌区水权的重新配置，也可以用于水权交易。</w:t>
      </w:r>
    </w:p>
    <w:p>
      <w:pPr>
        <w:pStyle w:val="9"/>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　　第五章 监督检查</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第二十五条 交易各方应当建设计量监测设施，完善计量监测措施，将水权交易实施后水资源水环境变化情况及时报送有关地方人民政府水行政主管部门。</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省级人民政府水行政主管部门应当于每年1月31日前向国务院水行政主管部门和有关流域管理机构报送本行政区域上一年度水权交易情况。</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流域管理机构应当于每年1月31日前向国务院水行政主管部门报送其批准的上一年度水权交易情况，并同时抄送有关省级人民政府水行政主管部门。</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第二十六条 县级以上地方人民政府水行政主管部门或者流域管理机构应当加强对水权交易实施情况的跟踪检查，完善计量监测设施，适时组织水权交易后评估工作。</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第二十七条 县级以上地方人民政府水行政主管部门、流域管理机构或者其他有关部门及其工作人员在水权交易监管工作中滥用职权、玩忽职守、徇私舞弊的，由其上级行政机关或者监察机关责令改正；情节严重的，依法追究责任。</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第二十八条 取水审批机关违反本办法规定批准取水权交易的；转让方或者受让方违反本办法规定，隐瞒有关情况或者提供虚假材料骗取取水权交易批准文件的；未经原取水审批机关批准擅自转让取水权的，依照《取水许可和水资源费征收管理条例》有关规定处理。</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第二十九条 水权交易平台应当依照有关法律法规完善交易规则，加强内部管理。水权交易平台违法违规运营的，依据有关法律法规和交易场所管理办法处罚。</w:t>
      </w:r>
    </w:p>
    <w:p>
      <w:pPr>
        <w:pStyle w:val="9"/>
        <w:keepNext w:val="0"/>
        <w:keepLines w:val="0"/>
        <w:widowControl/>
        <w:suppressLineNumbers w:val="0"/>
        <w:jc w:val="center"/>
      </w:pPr>
      <w:r>
        <w:rPr>
          <w:rFonts w:hint="eastAsia" w:ascii="微软雅黑" w:hAnsi="微软雅黑" w:eastAsia="微软雅黑" w:cs="微软雅黑"/>
          <w:i w:val="0"/>
          <w:iCs w:val="0"/>
          <w:caps w:val="0"/>
          <w:color w:val="000000"/>
          <w:spacing w:val="0"/>
          <w:sz w:val="27"/>
          <w:szCs w:val="27"/>
        </w:rPr>
        <w:t>　　第六章 附则</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第三十条 各省、自治区、直辖市可以根据本办法和本行政区域实际情况制定具体实施办法。</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第三十一条 本办法由国务院水行政主管部门负责解释。</w:t>
      </w:r>
    </w:p>
    <w:p>
      <w:pPr>
        <w:pStyle w:val="9"/>
        <w:keepNext w:val="0"/>
        <w:keepLines w:val="0"/>
        <w:widowControl/>
        <w:suppressLineNumbers w:val="0"/>
      </w:pPr>
      <w:r>
        <w:rPr>
          <w:rFonts w:hint="eastAsia" w:ascii="微软雅黑" w:hAnsi="微软雅黑" w:eastAsia="微软雅黑" w:cs="微软雅黑"/>
          <w:i w:val="0"/>
          <w:iCs w:val="0"/>
          <w:caps w:val="0"/>
          <w:color w:val="000000"/>
          <w:spacing w:val="0"/>
          <w:sz w:val="27"/>
          <w:szCs w:val="27"/>
        </w:rPr>
        <w:t>第三十二条 本办法自印发之日起施行。</w:t>
      </w:r>
    </w:p>
    <w:p>
      <w:pPr>
        <w:pStyle w:val="2"/>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3254220E"/>
    <w:rsid w:val="00974E00"/>
    <w:rsid w:val="110A41B5"/>
    <w:rsid w:val="1313570F"/>
    <w:rsid w:val="17717994"/>
    <w:rsid w:val="1A7A695D"/>
    <w:rsid w:val="1BC73208"/>
    <w:rsid w:val="218660F7"/>
    <w:rsid w:val="2B06251A"/>
    <w:rsid w:val="2B173DD6"/>
    <w:rsid w:val="2CBA3F4A"/>
    <w:rsid w:val="2D830896"/>
    <w:rsid w:val="2F3434F0"/>
    <w:rsid w:val="2FE450DA"/>
    <w:rsid w:val="3254220E"/>
    <w:rsid w:val="326741EA"/>
    <w:rsid w:val="33F72994"/>
    <w:rsid w:val="38200FB6"/>
    <w:rsid w:val="445116B0"/>
    <w:rsid w:val="44522A59"/>
    <w:rsid w:val="491571A1"/>
    <w:rsid w:val="4B184A89"/>
    <w:rsid w:val="4E4B3E88"/>
    <w:rsid w:val="56971495"/>
    <w:rsid w:val="593377DA"/>
    <w:rsid w:val="5E760C0A"/>
    <w:rsid w:val="639F1B35"/>
    <w:rsid w:val="65A52267"/>
    <w:rsid w:val="693E713A"/>
    <w:rsid w:val="6AE74F7E"/>
    <w:rsid w:val="6D300379"/>
    <w:rsid w:val="6D7363B3"/>
    <w:rsid w:val="6DED6689"/>
    <w:rsid w:val="743014AF"/>
    <w:rsid w:val="74451A75"/>
    <w:rsid w:val="77D46498"/>
    <w:rsid w:val="7A710392"/>
    <w:rsid w:val="7BC55C1E"/>
    <w:rsid w:val="7D790C60"/>
    <w:rsid w:val="7F2E5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1040" w:firstLineChars="200"/>
      <w:jc w:val="both"/>
    </w:pPr>
    <w:rPr>
      <w:rFonts w:ascii="Times New Roman" w:hAnsi="Times New Roman" w:eastAsia="仿宋" w:cs="Times New Roman"/>
      <w:kern w:val="2"/>
      <w:sz w:val="28"/>
      <w:szCs w:val="22"/>
      <w:lang w:val="en-US" w:eastAsia="zh-CN" w:bidi="ar-SA"/>
    </w:rPr>
  </w:style>
  <w:style w:type="paragraph" w:styleId="4">
    <w:name w:val="heading 1"/>
    <w:basedOn w:val="1"/>
    <w:next w:val="1"/>
    <w:link w:val="13"/>
    <w:qFormat/>
    <w:uiPriority w:val="0"/>
    <w:pPr>
      <w:keepNext/>
      <w:keepLines/>
      <w:adjustRightInd w:val="0"/>
      <w:snapToGrid w:val="0"/>
      <w:spacing w:beforeLines="0" w:beforeAutospacing="0" w:afterLines="0" w:afterAutospacing="0" w:line="240" w:lineRule="auto"/>
      <w:ind w:firstLine="0" w:firstLineChars="0"/>
      <w:jc w:val="center"/>
      <w:outlineLvl w:val="0"/>
    </w:pPr>
    <w:rPr>
      <w:rFonts w:eastAsia="方正仿宋_GB2312"/>
      <w:b/>
      <w:kern w:val="44"/>
      <w:sz w:val="44"/>
      <w:szCs w:val="36"/>
    </w:rPr>
  </w:style>
  <w:style w:type="paragraph" w:styleId="5">
    <w:name w:val="heading 2"/>
    <w:basedOn w:val="1"/>
    <w:next w:val="1"/>
    <w:link w:val="14"/>
    <w:semiHidden/>
    <w:unhideWhenUsed/>
    <w:qFormat/>
    <w:uiPriority w:val="0"/>
    <w:pPr>
      <w:adjustRightInd w:val="0"/>
      <w:snapToGrid w:val="0"/>
      <w:spacing w:line="360" w:lineRule="auto"/>
      <w:ind w:left="0" w:right="0" w:firstLine="0" w:firstLineChars="0"/>
      <w:jc w:val="left"/>
      <w:outlineLvl w:val="1"/>
    </w:pPr>
    <w:rPr>
      <w:rFonts w:eastAsia="方正仿宋_GB2312" w:cs="Times New Roman"/>
      <w:b/>
      <w:bCs/>
      <w:sz w:val="32"/>
      <w:szCs w:val="32"/>
      <w:lang w:val="zh-CN" w:bidi="zh-CN"/>
    </w:rPr>
  </w:style>
  <w:style w:type="paragraph" w:styleId="6">
    <w:name w:val="heading 3"/>
    <w:basedOn w:val="1"/>
    <w:next w:val="1"/>
    <w:semiHidden/>
    <w:unhideWhenUsed/>
    <w:qFormat/>
    <w:uiPriority w:val="0"/>
    <w:pPr>
      <w:keepNext/>
      <w:keepLines/>
      <w:adjustRightInd w:val="0"/>
      <w:snapToGrid w:val="0"/>
      <w:spacing w:line="360" w:lineRule="auto"/>
      <w:ind w:firstLine="0" w:firstLineChars="0"/>
      <w:jc w:val="left"/>
      <w:outlineLvl w:val="2"/>
    </w:pPr>
    <w:rPr>
      <w:b/>
      <w:sz w:val="30"/>
      <w:szCs w:val="30"/>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7">
    <w:name w:val="footer"/>
    <w:basedOn w:val="1"/>
    <w:link w:val="15"/>
    <w:qFormat/>
    <w:uiPriority w:val="0"/>
    <w:pPr>
      <w:tabs>
        <w:tab w:val="center" w:pos="4153"/>
        <w:tab w:val="right" w:pos="8306"/>
      </w:tabs>
      <w:adjustRightInd w:val="0"/>
      <w:snapToGrid w:val="0"/>
      <w:spacing w:line="360" w:lineRule="auto"/>
      <w:jc w:val="center"/>
    </w:pPr>
    <w:rPr>
      <w:rFonts w:ascii="Times New Roman" w:hAnsi="Times New Roman" w:eastAsia="宋体"/>
      <w:sz w:val="18"/>
      <w:szCs w:val="18"/>
    </w:rPr>
  </w:style>
  <w:style w:type="paragraph" w:styleId="8">
    <w:name w:val="toc 1"/>
    <w:basedOn w:val="1"/>
    <w:next w:val="1"/>
    <w:qFormat/>
    <w:uiPriority w:val="0"/>
    <w:pPr>
      <w:ind w:left="0" w:hanging="348"/>
    </w:pPr>
    <w:rPr>
      <w:rFonts w:ascii="Times New Roman" w:hAnsi="Times New Roman" w:eastAsia="方正仿宋_GB2312" w:cs="Times New Roman"/>
      <w:sz w:val="28"/>
      <w:szCs w:val="2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2">
    <w:name w:val="Table Paragraph"/>
    <w:basedOn w:val="1"/>
    <w:qFormat/>
    <w:uiPriority w:val="1"/>
    <w:pPr>
      <w:adjustRightInd w:val="0"/>
      <w:snapToGrid w:val="0"/>
    </w:pPr>
    <w:rPr>
      <w:rFonts w:ascii="Times New Roman" w:hAnsi="Times New Roman" w:eastAsia="宋体" w:cs="Times New Roman"/>
      <w:sz w:val="21"/>
      <w:szCs w:val="22"/>
      <w:lang w:val="zh-CN" w:bidi="zh-CN"/>
    </w:rPr>
  </w:style>
  <w:style w:type="character" w:customStyle="1" w:styleId="13">
    <w:name w:val="标题 1 Char"/>
    <w:basedOn w:val="11"/>
    <w:link w:val="4"/>
    <w:qFormat/>
    <w:uiPriority w:val="0"/>
    <w:rPr>
      <w:rFonts w:ascii="Times New Roman" w:hAnsi="Times New Roman" w:eastAsia="仿宋"/>
      <w:b/>
      <w:bCs/>
      <w:spacing w:val="-6"/>
      <w:kern w:val="44"/>
      <w:sz w:val="44"/>
      <w:szCs w:val="44"/>
    </w:rPr>
  </w:style>
  <w:style w:type="character" w:customStyle="1" w:styleId="14">
    <w:name w:val="标题 2 Char1"/>
    <w:link w:val="5"/>
    <w:qFormat/>
    <w:uiPriority w:val="0"/>
    <w:rPr>
      <w:rFonts w:ascii="Times New Roman" w:hAnsi="Times New Roman" w:eastAsia="仿宋" w:cs="Times New Roman"/>
      <w:b/>
      <w:bCs/>
      <w:sz w:val="32"/>
      <w:szCs w:val="32"/>
    </w:rPr>
  </w:style>
  <w:style w:type="character" w:customStyle="1" w:styleId="15">
    <w:name w:val="页脚 字符1"/>
    <w:link w:val="7"/>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2022-05-25T11:45:00Z</dcterms:created>
  <dc:creator>追梦人进</dc:creator>
  <cp:lastModifiedBy>追梦人进</cp:lastModifiedBy>
  <dcterms:modified xsi:type="dcterms:W3CDTF">2022-05-25T12:05:46Z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EC3D7D4A48D34298B0D579D40F36D980</vt:lpwstr>
  </property>
</Properties>
</file>